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50" w:rsidRPr="00D56350" w:rsidRDefault="00D56350">
      <w:pPr>
        <w:rPr>
          <w:rFonts w:ascii="黑体" w:eastAsia="黑体"/>
          <w:b/>
          <w:sz w:val="24"/>
        </w:rPr>
      </w:pPr>
      <w:r w:rsidRPr="00D56350">
        <w:rPr>
          <w:rFonts w:ascii="黑体" w:eastAsia="黑体" w:hint="eastAsia"/>
          <w:b/>
          <w:sz w:val="24"/>
        </w:rPr>
        <w:t>附件：</w:t>
      </w:r>
    </w:p>
    <w:p w:rsidR="00D56350" w:rsidRPr="00D56350" w:rsidRDefault="00D56350" w:rsidP="00D56350">
      <w:pPr>
        <w:jc w:val="center"/>
        <w:rPr>
          <w:rFonts w:ascii="微软雅黑" w:eastAsia="微软雅黑" w:hAnsi="微软雅黑"/>
          <w:b/>
          <w:sz w:val="24"/>
        </w:rPr>
      </w:pPr>
      <w:r w:rsidRPr="00D56350">
        <w:rPr>
          <w:rFonts w:ascii="微软雅黑" w:eastAsia="微软雅黑" w:hAnsi="微软雅黑" w:hint="eastAsia"/>
          <w:b/>
          <w:sz w:val="32"/>
        </w:rPr>
        <w:t>2018年度自主创新科研计划</w:t>
      </w:r>
      <w:r>
        <w:rPr>
          <w:rFonts w:ascii="微软雅黑" w:eastAsia="微软雅黑" w:hAnsi="微软雅黑" w:hint="eastAsia"/>
          <w:b/>
          <w:sz w:val="32"/>
        </w:rPr>
        <w:t>项目</w:t>
      </w:r>
      <w:r w:rsidRPr="00D56350">
        <w:rPr>
          <w:rFonts w:ascii="微软雅黑" w:eastAsia="微软雅黑" w:hAnsi="微软雅黑" w:hint="eastAsia"/>
          <w:b/>
          <w:sz w:val="32"/>
        </w:rPr>
        <w:t>拟立项名单</w:t>
      </w:r>
      <w:r w:rsidRPr="00D56350">
        <w:rPr>
          <w:rFonts w:ascii="微软雅黑" w:eastAsia="微软雅黑" w:hAnsi="微软雅黑" w:hint="eastAsia"/>
          <w:b/>
          <w:sz w:val="24"/>
        </w:rPr>
        <w:t>（科技专项）</w:t>
      </w:r>
    </w:p>
    <w:tbl>
      <w:tblPr>
        <w:tblStyle w:val="a3"/>
        <w:tblW w:w="8994" w:type="dxa"/>
        <w:tblLook w:val="04A0" w:firstRow="1" w:lastRow="0" w:firstColumn="1" w:lastColumn="0" w:noHBand="0" w:noVBand="1"/>
      </w:tblPr>
      <w:tblGrid>
        <w:gridCol w:w="816"/>
        <w:gridCol w:w="6732"/>
        <w:gridCol w:w="1446"/>
      </w:tblGrid>
      <w:tr w:rsidR="00C14B1E" w:rsidRPr="00C14B1E" w:rsidTr="00D56350">
        <w:trPr>
          <w:trHeight w:val="454"/>
        </w:trPr>
        <w:tc>
          <w:tcPr>
            <w:tcW w:w="816" w:type="dxa"/>
            <w:vAlign w:val="center"/>
          </w:tcPr>
          <w:p w:rsidR="00D56350" w:rsidRPr="00C14B1E" w:rsidRDefault="00D56350" w:rsidP="00D56350">
            <w:pPr>
              <w:jc w:val="center"/>
              <w:rPr>
                <w:rFonts w:ascii="黑体" w:eastAsia="黑体"/>
                <w:b/>
                <w:sz w:val="24"/>
              </w:rPr>
            </w:pPr>
            <w:r w:rsidRPr="00C14B1E">
              <w:rPr>
                <w:rFonts w:ascii="黑体" w:eastAsia="黑体" w:hint="eastAsia"/>
                <w:b/>
                <w:sz w:val="24"/>
              </w:rPr>
              <w:t>序号</w:t>
            </w:r>
          </w:p>
        </w:tc>
        <w:tc>
          <w:tcPr>
            <w:tcW w:w="6732" w:type="dxa"/>
            <w:vAlign w:val="center"/>
          </w:tcPr>
          <w:p w:rsidR="00D56350" w:rsidRPr="00C14B1E" w:rsidRDefault="00D56350" w:rsidP="00D56350">
            <w:pPr>
              <w:jc w:val="center"/>
              <w:rPr>
                <w:rFonts w:ascii="黑体" w:eastAsia="黑体"/>
                <w:b/>
                <w:sz w:val="24"/>
              </w:rPr>
            </w:pPr>
            <w:r w:rsidRPr="00C14B1E">
              <w:rPr>
                <w:rFonts w:ascii="黑体" w:eastAsia="黑体" w:hint="eastAsia"/>
                <w:b/>
                <w:sz w:val="24"/>
              </w:rPr>
              <w:t>项目名称</w:t>
            </w:r>
          </w:p>
        </w:tc>
        <w:tc>
          <w:tcPr>
            <w:tcW w:w="1446" w:type="dxa"/>
            <w:vAlign w:val="center"/>
          </w:tcPr>
          <w:p w:rsidR="00D56350" w:rsidRPr="00C14B1E" w:rsidRDefault="00D56350" w:rsidP="00D56350">
            <w:pPr>
              <w:jc w:val="center"/>
              <w:rPr>
                <w:rFonts w:ascii="黑体" w:eastAsia="黑体"/>
                <w:b/>
                <w:sz w:val="24"/>
              </w:rPr>
            </w:pPr>
            <w:r w:rsidRPr="00C14B1E">
              <w:rPr>
                <w:rFonts w:ascii="黑体" w:eastAsia="黑体" w:hint="eastAsia"/>
                <w:b/>
                <w:sz w:val="24"/>
              </w:rPr>
              <w:t>项目负责人</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渗透汽化脱硫膜表面性质与分离性能关系研究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侯影飞</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双金属复合管非均质焊接接头腐蚀损伤机制研究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王炳英</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多组分渗流驱动问题高精度数值方法研究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郭会</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高频感应复合熔化沉积成形增材制造工艺研究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石永军</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无机纳米孔隙中页岩油的流动微观机理研究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刘冰</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共价层层组装可控制备耐压海水淡化反渗透膜的研究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孙海翔</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基于</w:t>
            </w:r>
            <w:r w:rsidRPr="00C14B1E">
              <w:rPr>
                <w:rFonts w:hint="eastAsia"/>
              </w:rPr>
              <w:t>MXene</w:t>
            </w:r>
            <w:r w:rsidRPr="00C14B1E">
              <w:rPr>
                <w:rFonts w:hint="eastAsia"/>
              </w:rPr>
              <w:t>的高比容量电极材料的创制及电容机制研究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邢伟</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含裂隙砂岩声电联合性质研究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韩同城</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基于丛式井组的长水平井自循环开采致密干热岩地热机制研究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张亮</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基于全域温度测量的海洋天然气水合物钻采支持研究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朱渊</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染料敏化太阳能电池关键光电转换材料的分子设计与筛选</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鲁效庆</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硅藻壳的大量制备及其在生物医药领域的应用研究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陈翠霞</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特超稠油热化学复合驱油体系高温高压界面特性与采收率关系研究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范海明</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模式与数据共同驱动的海洋溢油溯源研究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任鹏</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高效光驱“固碳</w:t>
            </w:r>
            <w:r w:rsidRPr="00C14B1E">
              <w:rPr>
                <w:rFonts w:hint="eastAsia"/>
              </w:rPr>
              <w:t>-</w:t>
            </w:r>
            <w:r w:rsidRPr="00C14B1E">
              <w:rPr>
                <w:rFonts w:hint="eastAsia"/>
              </w:rPr>
              <w:t>产氢”微藻细胞工厂的构建及应用评价</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刘建国</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掺杂型钼基硫族化合物高活性电催化剂的整体结构设计及其协同催化机制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董斌</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基于交流电磁场的海洋结构物缺陷智能可视化识别系统开发与应用研究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李伟</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纳</w:t>
            </w:r>
            <w:r w:rsidRPr="00C14B1E">
              <w:rPr>
                <w:rFonts w:hint="eastAsia"/>
              </w:rPr>
              <w:t>-</w:t>
            </w:r>
            <w:r w:rsidRPr="00C14B1E">
              <w:rPr>
                <w:rFonts w:hint="eastAsia"/>
              </w:rPr>
              <w:t>微尺度碳膜包覆的</w:t>
            </w:r>
            <w:r w:rsidRPr="00C14B1E">
              <w:rPr>
                <w:rFonts w:hint="eastAsia"/>
              </w:rPr>
              <w:t>CoMo@ Pt/Al2O3</w:t>
            </w:r>
            <w:r w:rsidRPr="00C14B1E">
              <w:rPr>
                <w:rFonts w:hint="eastAsia"/>
              </w:rPr>
              <w:t>核</w:t>
            </w:r>
            <w:r w:rsidRPr="00C14B1E">
              <w:rPr>
                <w:rFonts w:hint="eastAsia"/>
              </w:rPr>
              <w:t>-</w:t>
            </w:r>
            <w:r w:rsidRPr="00C14B1E">
              <w:rPr>
                <w:rFonts w:hint="eastAsia"/>
              </w:rPr>
              <w:t>壳结构加氢脱硫催化剂的设计以及加氢脱硫性能和机理的研究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郭海玲</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塔里木盆地深层典型油气藏形成机理与富集模式</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刘华</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氢键有机框架材料的设计合成及其作为氢燃料电池质子传导膜的研究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王荣明</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316L</w:t>
            </w:r>
            <w:r w:rsidRPr="00C14B1E">
              <w:rPr>
                <w:rFonts w:hint="eastAsia"/>
              </w:rPr>
              <w:t>焊接接头在</w:t>
            </w:r>
            <w:r w:rsidRPr="00C14B1E">
              <w:rPr>
                <w:rFonts w:hint="eastAsia"/>
              </w:rPr>
              <w:t>FLNG</w:t>
            </w:r>
            <w:r w:rsidRPr="00C14B1E">
              <w:rPr>
                <w:rFonts w:hint="eastAsia"/>
              </w:rPr>
              <w:t>硫回收催化剂溶液中的应力腐蚀行为及机制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李焰</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生物质分级热解气化的应用基础研究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乔英云</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塔里木和四川盆地寒武</w:t>
            </w:r>
            <w:r w:rsidRPr="00C14B1E">
              <w:rPr>
                <w:rFonts w:hint="eastAsia"/>
              </w:rPr>
              <w:t>-</w:t>
            </w:r>
            <w:r w:rsidRPr="00C14B1E">
              <w:rPr>
                <w:rFonts w:hint="eastAsia"/>
              </w:rPr>
              <w:t>奥陶及前寒武系深层油气运移路径示踪研究</w:t>
            </w:r>
            <w:r w:rsidRPr="00C14B1E">
              <w:rPr>
                <w:rFonts w:hint="eastAsia"/>
              </w:rPr>
              <w:t xml:space="preserve"> </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陈中红</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木质生物质超临界体系下浆态床加氢液化反应研究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刘东</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基于交直流混联母线的低压多源并供系统稳定运行机理及其保护控制技术</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仉志华</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基于煤炭—含油污泥混和燃料的烟气二氧化碳富集、驱油及封存全流程协同优化方法</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赵东亚</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致密油储层储集性能表征及“甜点”评价</w:t>
            </w:r>
            <w:r w:rsidRPr="00C14B1E">
              <w:rPr>
                <w:rFonts w:hint="eastAsia"/>
              </w:rPr>
              <w:t xml:space="preserve">  </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王健</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复杂随机条件下海洋平台气体泄漏检测优化问题研究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章博</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深层裂缝性油气藏热</w:t>
            </w:r>
            <w:r w:rsidRPr="00C14B1E">
              <w:rPr>
                <w:rFonts w:hint="eastAsia"/>
              </w:rPr>
              <w:t>-</w:t>
            </w:r>
            <w:r w:rsidRPr="00C14B1E">
              <w:rPr>
                <w:rFonts w:hint="eastAsia"/>
              </w:rPr>
              <w:t>流</w:t>
            </w:r>
            <w:r w:rsidRPr="00C14B1E">
              <w:rPr>
                <w:rFonts w:hint="eastAsia"/>
              </w:rPr>
              <w:t>-</w:t>
            </w:r>
            <w:r w:rsidRPr="00C14B1E">
              <w:rPr>
                <w:rFonts w:hint="eastAsia"/>
              </w:rPr>
              <w:t>固耦合的多尺度有限元模拟方法与技术研究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黄朝琴</w:t>
            </w:r>
          </w:p>
        </w:tc>
      </w:tr>
      <w:tr w:rsidR="00C14B1E" w:rsidRPr="00C14B1E" w:rsidTr="00C14B1E">
        <w:trPr>
          <w:trHeight w:val="397"/>
        </w:trPr>
        <w:tc>
          <w:tcPr>
            <w:tcW w:w="816" w:type="dxa"/>
            <w:vAlign w:val="center"/>
          </w:tcPr>
          <w:p w:rsidR="00C14B1E" w:rsidRPr="00C14B1E" w:rsidRDefault="00C14B1E" w:rsidP="00D56350">
            <w:pPr>
              <w:pStyle w:val="a4"/>
              <w:numPr>
                <w:ilvl w:val="0"/>
                <w:numId w:val="1"/>
              </w:numPr>
              <w:ind w:firstLineChars="0"/>
              <w:jc w:val="center"/>
            </w:pPr>
          </w:p>
        </w:tc>
        <w:tc>
          <w:tcPr>
            <w:tcW w:w="6732" w:type="dxa"/>
            <w:vAlign w:val="center"/>
          </w:tcPr>
          <w:p w:rsidR="00C14B1E" w:rsidRPr="00C14B1E" w:rsidRDefault="00C14B1E">
            <w:pPr>
              <w:rPr>
                <w:rFonts w:ascii="宋体" w:eastAsia="宋体" w:hAnsi="宋体" w:cs="宋体"/>
                <w:sz w:val="24"/>
                <w:szCs w:val="24"/>
              </w:rPr>
            </w:pPr>
            <w:r w:rsidRPr="00C14B1E">
              <w:rPr>
                <w:rFonts w:hint="eastAsia"/>
              </w:rPr>
              <w:t>基于多源遥感大数据的“海上丝路”城市不透水面专题信息分层优化提取方法与生态环境效应研究</w:t>
            </w:r>
          </w:p>
        </w:tc>
        <w:tc>
          <w:tcPr>
            <w:tcW w:w="1446" w:type="dxa"/>
            <w:vAlign w:val="center"/>
          </w:tcPr>
          <w:p w:rsidR="00C14B1E" w:rsidRPr="00C14B1E" w:rsidRDefault="00C14B1E" w:rsidP="00C14B1E">
            <w:pPr>
              <w:jc w:val="center"/>
              <w:rPr>
                <w:rFonts w:ascii="宋体" w:eastAsia="宋体" w:hAnsi="宋体" w:cs="宋体"/>
                <w:sz w:val="24"/>
                <w:szCs w:val="24"/>
              </w:rPr>
            </w:pPr>
            <w:r w:rsidRPr="00C14B1E">
              <w:rPr>
                <w:rFonts w:hint="eastAsia"/>
              </w:rPr>
              <w:t>孙根云</w:t>
            </w:r>
          </w:p>
        </w:tc>
      </w:tr>
    </w:tbl>
    <w:p w:rsidR="001D33B8" w:rsidRPr="00D56350" w:rsidRDefault="001D33B8" w:rsidP="001D33B8">
      <w:pPr>
        <w:rPr>
          <w:rFonts w:ascii="黑体" w:eastAsia="黑体"/>
          <w:b/>
          <w:sz w:val="24"/>
        </w:rPr>
      </w:pPr>
      <w:r w:rsidRPr="00D56350">
        <w:rPr>
          <w:rFonts w:ascii="黑体" w:eastAsia="黑体" w:hint="eastAsia"/>
          <w:b/>
          <w:sz w:val="24"/>
        </w:rPr>
        <w:lastRenderedPageBreak/>
        <w:t>附件：</w:t>
      </w:r>
    </w:p>
    <w:p w:rsidR="001D33B8" w:rsidRPr="00D56350" w:rsidRDefault="001D33B8" w:rsidP="001D33B8">
      <w:pPr>
        <w:jc w:val="center"/>
        <w:rPr>
          <w:rFonts w:ascii="微软雅黑" w:eastAsia="微软雅黑" w:hAnsi="微软雅黑"/>
          <w:b/>
          <w:sz w:val="24"/>
        </w:rPr>
      </w:pPr>
      <w:r w:rsidRPr="00D56350">
        <w:rPr>
          <w:rFonts w:ascii="微软雅黑" w:eastAsia="微软雅黑" w:hAnsi="微软雅黑" w:hint="eastAsia"/>
          <w:b/>
          <w:sz w:val="32"/>
        </w:rPr>
        <w:t>2018年度自主创新科研计划</w:t>
      </w:r>
      <w:r>
        <w:rPr>
          <w:rFonts w:ascii="微软雅黑" w:eastAsia="微软雅黑" w:hAnsi="微软雅黑" w:hint="eastAsia"/>
          <w:b/>
          <w:sz w:val="32"/>
        </w:rPr>
        <w:t>项目</w:t>
      </w:r>
      <w:r w:rsidRPr="00D56350">
        <w:rPr>
          <w:rFonts w:ascii="微软雅黑" w:eastAsia="微软雅黑" w:hAnsi="微软雅黑" w:hint="eastAsia"/>
          <w:b/>
          <w:sz w:val="32"/>
        </w:rPr>
        <w:t>拟立项名单</w:t>
      </w:r>
      <w:r w:rsidRPr="00D56350">
        <w:rPr>
          <w:rFonts w:ascii="微软雅黑" w:eastAsia="微软雅黑" w:hAnsi="微软雅黑" w:hint="eastAsia"/>
          <w:b/>
          <w:sz w:val="24"/>
        </w:rPr>
        <w:t>（</w:t>
      </w:r>
      <w:r>
        <w:rPr>
          <w:rFonts w:ascii="微软雅黑" w:eastAsia="微软雅黑" w:hAnsi="微软雅黑" w:hint="eastAsia"/>
          <w:b/>
          <w:sz w:val="24"/>
        </w:rPr>
        <w:t>人才培育</w:t>
      </w:r>
      <w:r w:rsidRPr="00D56350">
        <w:rPr>
          <w:rFonts w:ascii="微软雅黑" w:eastAsia="微软雅黑" w:hAnsi="微软雅黑" w:hint="eastAsia"/>
          <w:b/>
          <w:sz w:val="24"/>
        </w:rPr>
        <w:t>）</w:t>
      </w:r>
    </w:p>
    <w:tbl>
      <w:tblPr>
        <w:tblStyle w:val="a3"/>
        <w:tblW w:w="8994" w:type="dxa"/>
        <w:tblLook w:val="04A0" w:firstRow="1" w:lastRow="0" w:firstColumn="1" w:lastColumn="0" w:noHBand="0" w:noVBand="1"/>
      </w:tblPr>
      <w:tblGrid>
        <w:gridCol w:w="816"/>
        <w:gridCol w:w="6732"/>
        <w:gridCol w:w="1446"/>
      </w:tblGrid>
      <w:tr w:rsidR="001D33B8" w:rsidTr="001D33B8">
        <w:trPr>
          <w:trHeight w:val="567"/>
        </w:trPr>
        <w:tc>
          <w:tcPr>
            <w:tcW w:w="816" w:type="dxa"/>
            <w:vAlign w:val="center"/>
          </w:tcPr>
          <w:p w:rsidR="001D33B8" w:rsidRPr="00D56350" w:rsidRDefault="001D33B8" w:rsidP="00F13137">
            <w:pPr>
              <w:jc w:val="center"/>
              <w:rPr>
                <w:rFonts w:ascii="黑体" w:eastAsia="黑体"/>
                <w:b/>
                <w:sz w:val="24"/>
              </w:rPr>
            </w:pPr>
            <w:r w:rsidRPr="00D56350">
              <w:rPr>
                <w:rFonts w:ascii="黑体" w:eastAsia="黑体" w:hint="eastAsia"/>
                <w:b/>
                <w:sz w:val="24"/>
              </w:rPr>
              <w:t>序号</w:t>
            </w:r>
          </w:p>
        </w:tc>
        <w:tc>
          <w:tcPr>
            <w:tcW w:w="6732" w:type="dxa"/>
            <w:vAlign w:val="center"/>
          </w:tcPr>
          <w:p w:rsidR="001D33B8" w:rsidRPr="00C14B1E" w:rsidRDefault="001D33B8" w:rsidP="00F13137">
            <w:pPr>
              <w:jc w:val="center"/>
              <w:rPr>
                <w:rFonts w:ascii="黑体" w:eastAsia="黑体"/>
                <w:b/>
                <w:sz w:val="24"/>
              </w:rPr>
            </w:pPr>
            <w:r w:rsidRPr="00C14B1E">
              <w:rPr>
                <w:rFonts w:ascii="黑体" w:eastAsia="黑体" w:hint="eastAsia"/>
                <w:b/>
                <w:sz w:val="24"/>
              </w:rPr>
              <w:t>项目名称</w:t>
            </w:r>
          </w:p>
        </w:tc>
        <w:tc>
          <w:tcPr>
            <w:tcW w:w="1446" w:type="dxa"/>
            <w:vAlign w:val="center"/>
          </w:tcPr>
          <w:p w:rsidR="001D33B8" w:rsidRPr="00C14B1E" w:rsidRDefault="001D33B8" w:rsidP="00C14B1E">
            <w:pPr>
              <w:jc w:val="center"/>
              <w:rPr>
                <w:rFonts w:ascii="黑体" w:eastAsia="黑体"/>
                <w:b/>
                <w:sz w:val="24"/>
              </w:rPr>
            </w:pPr>
            <w:r w:rsidRPr="00C14B1E">
              <w:rPr>
                <w:rFonts w:ascii="黑体" w:eastAsia="黑体" w:hint="eastAsia"/>
                <w:b/>
                <w:sz w:val="24"/>
              </w:rPr>
              <w:t>项目负责人</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基于氧化石墨烯的三明治型复合膜材料制备及其分离性能研究</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康子曦</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二维</w:t>
            </w:r>
            <w:r w:rsidRPr="00C14B1E">
              <w:rPr>
                <w:rFonts w:hint="eastAsia"/>
                <w:sz w:val="22"/>
              </w:rPr>
              <w:t>MTe2</w:t>
            </w:r>
            <w:r w:rsidRPr="00C14B1E">
              <w:rPr>
                <w:rFonts w:hint="eastAsia"/>
                <w:sz w:val="22"/>
              </w:rPr>
              <w:t>纳米结构的化学调控及光电特性的构效研究</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王兆杰</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大规模物联网关键技术研究</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陈鸿龙</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杂多酸的组装及其功能化——油品加氢催化剂活性相的定向构建与调控</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卢玉坤</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多变工作条件下锂离子电池组热失控诱发与传播动力学机制及抑制方法研究</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平平</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油气藏渗流与开发优化</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王森</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烃类充注后油气藏中有机</w:t>
            </w:r>
            <w:r w:rsidRPr="00C14B1E">
              <w:rPr>
                <w:rFonts w:hint="eastAsia"/>
                <w:sz w:val="22"/>
              </w:rPr>
              <w:t>-</w:t>
            </w:r>
            <w:r w:rsidRPr="00C14B1E">
              <w:rPr>
                <w:rFonts w:hint="eastAsia"/>
                <w:sz w:val="22"/>
              </w:rPr>
              <w:t>无机相互作用研究</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远光辉</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基于低频弹性波响应特征的气侵早期井下监测方法研究</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王子振</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具有局域金属原子结构的碳量子点杂化体构建及其在光氧化中的应用</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吴文婷</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微纳气敏材料与先进传感技术</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张冬至</w:t>
            </w:r>
          </w:p>
        </w:tc>
        <w:bookmarkStart w:id="0" w:name="_GoBack"/>
        <w:bookmarkEnd w:id="0"/>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大规模数据深度结构学习理论与方法研究</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刘伟锋</w:t>
            </w:r>
          </w:p>
        </w:tc>
      </w:tr>
      <w:tr w:rsidR="00C14B1E" w:rsidTr="001D33B8">
        <w:trPr>
          <w:trHeight w:val="567"/>
        </w:trPr>
        <w:tc>
          <w:tcPr>
            <w:tcW w:w="816" w:type="dxa"/>
            <w:vAlign w:val="center"/>
          </w:tcPr>
          <w:p w:rsidR="00C14B1E" w:rsidRDefault="00C14B1E" w:rsidP="001D33B8">
            <w:pPr>
              <w:pStyle w:val="a4"/>
              <w:numPr>
                <w:ilvl w:val="0"/>
                <w:numId w:val="2"/>
              </w:numPr>
              <w:ind w:firstLineChars="0"/>
              <w:jc w:val="center"/>
            </w:pPr>
          </w:p>
        </w:tc>
        <w:tc>
          <w:tcPr>
            <w:tcW w:w="6732" w:type="dxa"/>
            <w:vAlign w:val="center"/>
          </w:tcPr>
          <w:p w:rsidR="00C14B1E" w:rsidRPr="00C14B1E" w:rsidRDefault="00C14B1E">
            <w:pPr>
              <w:rPr>
                <w:rFonts w:ascii="宋体" w:eastAsia="宋体" w:hAnsi="宋体" w:cs="宋体"/>
                <w:sz w:val="22"/>
              </w:rPr>
            </w:pPr>
            <w:r w:rsidRPr="00C14B1E">
              <w:rPr>
                <w:rFonts w:hint="eastAsia"/>
                <w:sz w:val="22"/>
              </w:rPr>
              <w:t>微尺度下表面浸润性对“热</w:t>
            </w:r>
            <w:r w:rsidRPr="00C14B1E">
              <w:rPr>
                <w:rFonts w:hint="eastAsia"/>
                <w:sz w:val="22"/>
              </w:rPr>
              <w:t>-</w:t>
            </w:r>
            <w:r w:rsidRPr="00C14B1E">
              <w:rPr>
                <w:rFonts w:hint="eastAsia"/>
                <w:sz w:val="22"/>
              </w:rPr>
              <w:t>流</w:t>
            </w:r>
            <w:r w:rsidRPr="00C14B1E">
              <w:rPr>
                <w:rFonts w:hint="eastAsia"/>
                <w:sz w:val="22"/>
              </w:rPr>
              <w:t>-</w:t>
            </w:r>
            <w:r w:rsidRPr="00C14B1E">
              <w:rPr>
                <w:rFonts w:hint="eastAsia"/>
                <w:sz w:val="22"/>
              </w:rPr>
              <w:t>固”耦合影响的机理研究</w:t>
            </w:r>
          </w:p>
        </w:tc>
        <w:tc>
          <w:tcPr>
            <w:tcW w:w="1446" w:type="dxa"/>
            <w:vAlign w:val="center"/>
          </w:tcPr>
          <w:p w:rsidR="00C14B1E" w:rsidRPr="00C14B1E" w:rsidRDefault="00C14B1E" w:rsidP="00C14B1E">
            <w:pPr>
              <w:jc w:val="center"/>
              <w:rPr>
                <w:rFonts w:ascii="宋体" w:eastAsia="宋体" w:hAnsi="宋体" w:cs="宋体"/>
                <w:sz w:val="22"/>
              </w:rPr>
            </w:pPr>
            <w:r w:rsidRPr="00C14B1E">
              <w:rPr>
                <w:rFonts w:hint="eastAsia"/>
                <w:sz w:val="22"/>
              </w:rPr>
              <w:t>巩亮</w:t>
            </w:r>
          </w:p>
        </w:tc>
      </w:tr>
    </w:tbl>
    <w:p w:rsidR="00C205F2" w:rsidRDefault="00C205F2"/>
    <w:sectPr w:rsidR="00C205F2" w:rsidSect="00C14B1E">
      <w:pgSz w:w="11906" w:h="16838"/>
      <w:pgMar w:top="964" w:right="1474" w:bottom="96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4D8" w:rsidRDefault="004874D8" w:rsidP="00C14B1E">
      <w:r>
        <w:separator/>
      </w:r>
    </w:p>
  </w:endnote>
  <w:endnote w:type="continuationSeparator" w:id="0">
    <w:p w:rsidR="004874D8" w:rsidRDefault="004874D8" w:rsidP="00C1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4D8" w:rsidRDefault="004874D8" w:rsidP="00C14B1E">
      <w:r>
        <w:separator/>
      </w:r>
    </w:p>
  </w:footnote>
  <w:footnote w:type="continuationSeparator" w:id="0">
    <w:p w:rsidR="004874D8" w:rsidRDefault="004874D8" w:rsidP="00C14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96B"/>
    <w:multiLevelType w:val="hybridMultilevel"/>
    <w:tmpl w:val="ABE4F6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0E46FD"/>
    <w:multiLevelType w:val="hybridMultilevel"/>
    <w:tmpl w:val="ABE4F6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50"/>
    <w:rsid w:val="001D33B8"/>
    <w:rsid w:val="004874D8"/>
    <w:rsid w:val="00C14B1E"/>
    <w:rsid w:val="00C205F2"/>
    <w:rsid w:val="00D56350"/>
    <w:rsid w:val="00DC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6350"/>
    <w:pPr>
      <w:ind w:firstLineChars="200" w:firstLine="420"/>
    </w:pPr>
  </w:style>
  <w:style w:type="paragraph" w:styleId="a5">
    <w:name w:val="header"/>
    <w:basedOn w:val="a"/>
    <w:link w:val="Char"/>
    <w:uiPriority w:val="99"/>
    <w:unhideWhenUsed/>
    <w:rsid w:val="00C14B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14B1E"/>
    <w:rPr>
      <w:sz w:val="18"/>
      <w:szCs w:val="18"/>
    </w:rPr>
  </w:style>
  <w:style w:type="paragraph" w:styleId="a6">
    <w:name w:val="footer"/>
    <w:basedOn w:val="a"/>
    <w:link w:val="Char0"/>
    <w:uiPriority w:val="99"/>
    <w:unhideWhenUsed/>
    <w:rsid w:val="00C14B1E"/>
    <w:pPr>
      <w:tabs>
        <w:tab w:val="center" w:pos="4153"/>
        <w:tab w:val="right" w:pos="8306"/>
      </w:tabs>
      <w:snapToGrid w:val="0"/>
      <w:jc w:val="left"/>
    </w:pPr>
    <w:rPr>
      <w:sz w:val="18"/>
      <w:szCs w:val="18"/>
    </w:rPr>
  </w:style>
  <w:style w:type="character" w:customStyle="1" w:styleId="Char0">
    <w:name w:val="页脚 Char"/>
    <w:basedOn w:val="a0"/>
    <w:link w:val="a6"/>
    <w:uiPriority w:val="99"/>
    <w:rsid w:val="00C14B1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6350"/>
    <w:pPr>
      <w:ind w:firstLineChars="200" w:firstLine="420"/>
    </w:pPr>
  </w:style>
  <w:style w:type="paragraph" w:styleId="a5">
    <w:name w:val="header"/>
    <w:basedOn w:val="a"/>
    <w:link w:val="Char"/>
    <w:uiPriority w:val="99"/>
    <w:unhideWhenUsed/>
    <w:rsid w:val="00C14B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14B1E"/>
    <w:rPr>
      <w:sz w:val="18"/>
      <w:szCs w:val="18"/>
    </w:rPr>
  </w:style>
  <w:style w:type="paragraph" w:styleId="a6">
    <w:name w:val="footer"/>
    <w:basedOn w:val="a"/>
    <w:link w:val="Char0"/>
    <w:uiPriority w:val="99"/>
    <w:unhideWhenUsed/>
    <w:rsid w:val="00C14B1E"/>
    <w:pPr>
      <w:tabs>
        <w:tab w:val="center" w:pos="4153"/>
        <w:tab w:val="right" w:pos="8306"/>
      </w:tabs>
      <w:snapToGrid w:val="0"/>
      <w:jc w:val="left"/>
    </w:pPr>
    <w:rPr>
      <w:sz w:val="18"/>
      <w:szCs w:val="18"/>
    </w:rPr>
  </w:style>
  <w:style w:type="character" w:customStyle="1" w:styleId="Char0">
    <w:name w:val="页脚 Char"/>
    <w:basedOn w:val="a0"/>
    <w:link w:val="a6"/>
    <w:uiPriority w:val="99"/>
    <w:rsid w:val="00C14B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212</Words>
  <Characters>1213</Characters>
  <Application>Microsoft Office Word</Application>
  <DocSecurity>0</DocSecurity>
  <Lines>10</Lines>
  <Paragraphs>2</Paragraphs>
  <ScaleCrop>false</ScaleCrop>
  <Company>Sky123.Org</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2018-01-10T08:55:00Z</dcterms:created>
  <dcterms:modified xsi:type="dcterms:W3CDTF">2018-01-24T01:59:00Z</dcterms:modified>
</cp:coreProperties>
</file>